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201C07F1" w:rsidR="00C7794B" w:rsidRPr="00C7794B" w:rsidRDefault="00A41303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>Race &amp; Disability Pay Gap Reporting</w:t>
      </w:r>
      <w:r w:rsidR="0030345F">
        <w:rPr>
          <w:rStyle w:val="Strong"/>
          <w:rFonts w:asciiTheme="minorHAnsi" w:hAnsiTheme="minorHAnsi"/>
          <w:color w:val="000000"/>
          <w:sz w:val="44"/>
          <w:szCs w:val="44"/>
        </w:rPr>
        <w:t xml:space="preserve"> </w:t>
      </w:r>
      <w:r w:rsidR="00C7794B" w:rsidRPr="00C7794B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C7794B" w:rsidRDefault="004624E5" w:rsidP="00C7794B">
      <w:pPr>
        <w:ind w:left="-567" w:right="-613"/>
      </w:pPr>
      <w:r w:rsidRPr="004624E5">
        <w:rPr>
          <w:noProof/>
          <w14:ligatures w14:val="standardContextual"/>
        </w:rPr>
        <w:pict w14:anchorId="40E7EC65">
          <v:rect id="_x0000_i1037" alt="" style="width:510.3pt;height:.05pt;mso-width-percent:0;mso-height-percent:0;mso-width-percent:0;mso-height-percent:0" o:hralign="center" o:hrstd="t" o:hr="t" fillcolor="#a0a0a0" stroked="f"/>
        </w:pict>
      </w:r>
    </w:p>
    <w:p w14:paraId="4C2AB0CB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1. Policy Statement</w:t>
      </w:r>
    </w:p>
    <w:p w14:paraId="1CCD269A" w14:textId="2C87F637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A41303">
        <w:rPr>
          <w:rFonts w:asciiTheme="minorHAnsi" w:hAnsiTheme="minorHAnsi"/>
          <w:color w:val="000000"/>
        </w:rPr>
        <w:t xml:space="preserve"> is committed to equality, transparency and fairness in pay and employment practices. We recognise the importance of addressing pay disparities relating to </w:t>
      </w:r>
      <w:r w:rsidRPr="00A41303">
        <w:rPr>
          <w:rFonts w:asciiTheme="minorHAnsi" w:hAnsiTheme="minorHAnsi"/>
          <w:b/>
          <w:bCs/>
          <w:color w:val="000000"/>
        </w:rPr>
        <w:t>race and disability</w:t>
      </w:r>
      <w:r w:rsidRPr="00A41303">
        <w:rPr>
          <w:rFonts w:asciiTheme="minorHAnsi" w:hAnsiTheme="minorHAnsi"/>
          <w:color w:val="000000"/>
        </w:rPr>
        <w:t> and support the principles underpinning the UK Government’s ongoing consultations on </w:t>
      </w:r>
      <w:r w:rsidRPr="00A41303">
        <w:rPr>
          <w:rFonts w:asciiTheme="minorHAnsi" w:hAnsiTheme="minorHAnsi"/>
          <w:b/>
          <w:bCs/>
          <w:color w:val="000000"/>
        </w:rPr>
        <w:t>Race and Disability Pay Gap Reporting</w:t>
      </w:r>
      <w:r w:rsidRPr="00A41303">
        <w:rPr>
          <w:rFonts w:asciiTheme="minorHAnsi" w:hAnsiTheme="minorHAnsi"/>
          <w:color w:val="000000"/>
        </w:rPr>
        <w:t>.</w:t>
      </w:r>
    </w:p>
    <w:p w14:paraId="054EA708" w14:textId="708A59E7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 xml:space="preserve">This policy sets out </w:t>
      </w:r>
      <w:r>
        <w:rPr>
          <w:rFonts w:asciiTheme="minorHAnsi" w:hAnsiTheme="minorHAnsi"/>
          <w:color w:val="000000"/>
        </w:rPr>
        <w:t>SeenEm®</w:t>
      </w:r>
      <w:r w:rsidRPr="00A41303">
        <w:rPr>
          <w:rFonts w:asciiTheme="minorHAnsi" w:hAnsiTheme="minorHAnsi"/>
          <w:color w:val="000000"/>
        </w:rPr>
        <w:t>’s approach to compliance readiness and future reporting obligations once statutory requirements are introduced.</w:t>
      </w:r>
    </w:p>
    <w:p w14:paraId="356AA384" w14:textId="77777777" w:rsidR="00A41303" w:rsidRPr="00A41303" w:rsidRDefault="004624E5" w:rsidP="00A41303">
      <w:pPr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0862BA63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570FCEFA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2. Current Status</w:t>
      </w:r>
    </w:p>
    <w:p w14:paraId="1484265D" w14:textId="77777777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At present:</w:t>
      </w:r>
    </w:p>
    <w:p w14:paraId="2CC07396" w14:textId="77777777" w:rsidR="00A41303" w:rsidRPr="00A41303" w:rsidRDefault="00A41303" w:rsidP="00A41303">
      <w:pPr>
        <w:numPr>
          <w:ilvl w:val="0"/>
          <w:numId w:val="117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UK race and disability pay gap reporting is </w:t>
      </w:r>
      <w:r w:rsidRPr="00A41303">
        <w:rPr>
          <w:rFonts w:asciiTheme="minorHAnsi" w:hAnsiTheme="minorHAnsi"/>
          <w:b/>
          <w:bCs/>
          <w:color w:val="000000"/>
        </w:rPr>
        <w:t>subject to government consultation</w:t>
      </w:r>
    </w:p>
    <w:p w14:paraId="6E1F0500" w14:textId="77777777" w:rsidR="00A41303" w:rsidRPr="00A41303" w:rsidRDefault="00A41303" w:rsidP="00A41303">
      <w:pPr>
        <w:numPr>
          <w:ilvl w:val="0"/>
          <w:numId w:val="117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There is </w:t>
      </w:r>
      <w:r w:rsidRPr="00A41303">
        <w:rPr>
          <w:rFonts w:asciiTheme="minorHAnsi" w:hAnsiTheme="minorHAnsi"/>
          <w:b/>
          <w:bCs/>
          <w:color w:val="000000"/>
        </w:rPr>
        <w:t>no statutory obligation</w:t>
      </w:r>
      <w:r w:rsidRPr="00A41303">
        <w:rPr>
          <w:rFonts w:asciiTheme="minorHAnsi" w:hAnsiTheme="minorHAnsi"/>
          <w:color w:val="000000"/>
        </w:rPr>
        <w:t> to publish race or disability pay gap data</w:t>
      </w:r>
    </w:p>
    <w:p w14:paraId="370FC417" w14:textId="77777777" w:rsidR="00A41303" w:rsidRPr="00A41303" w:rsidRDefault="00A41303" w:rsidP="00A41303">
      <w:pPr>
        <w:numPr>
          <w:ilvl w:val="0"/>
          <w:numId w:val="117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Reporting requirements, thresholds and methodologies are </w:t>
      </w:r>
      <w:r w:rsidRPr="00A41303">
        <w:rPr>
          <w:rFonts w:asciiTheme="minorHAnsi" w:hAnsiTheme="minorHAnsi"/>
          <w:b/>
          <w:bCs/>
          <w:color w:val="000000"/>
        </w:rPr>
        <w:t>not yet finalised</w:t>
      </w:r>
    </w:p>
    <w:p w14:paraId="72E28031" w14:textId="740FBF0A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A41303">
        <w:rPr>
          <w:rFonts w:asciiTheme="minorHAnsi" w:hAnsiTheme="minorHAnsi"/>
          <w:color w:val="000000"/>
        </w:rPr>
        <w:t xml:space="preserve"> will monitor legislative developments closely and implement reporting processes once legal duties are confirmed.</w:t>
      </w:r>
    </w:p>
    <w:p w14:paraId="765CCFD5" w14:textId="77777777" w:rsidR="00A41303" w:rsidRPr="00A41303" w:rsidRDefault="004624E5" w:rsidP="00A41303">
      <w:pPr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6D0378CB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19E1E21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3. Scope</w:t>
      </w:r>
    </w:p>
    <w:p w14:paraId="09F6CCA8" w14:textId="77777777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This policy applies to:</w:t>
      </w:r>
    </w:p>
    <w:p w14:paraId="5C15F563" w14:textId="77777777" w:rsidR="00A41303" w:rsidRPr="00A41303" w:rsidRDefault="00A41303" w:rsidP="00A41303">
      <w:pPr>
        <w:numPr>
          <w:ilvl w:val="0"/>
          <w:numId w:val="118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All employees (once employed)</w:t>
      </w:r>
    </w:p>
    <w:p w14:paraId="5173C52F" w14:textId="77777777" w:rsidR="00A41303" w:rsidRPr="00A41303" w:rsidRDefault="00A41303" w:rsidP="00A41303">
      <w:pPr>
        <w:numPr>
          <w:ilvl w:val="0"/>
          <w:numId w:val="118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Directors and officers</w:t>
      </w:r>
    </w:p>
    <w:p w14:paraId="61607D54" w14:textId="77777777" w:rsidR="00A41303" w:rsidRPr="00A41303" w:rsidRDefault="00A41303" w:rsidP="00A41303">
      <w:pPr>
        <w:numPr>
          <w:ilvl w:val="0"/>
          <w:numId w:val="118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Workers and agency workers</w:t>
      </w:r>
    </w:p>
    <w:p w14:paraId="4DB4F6E0" w14:textId="77777777" w:rsidR="00A41303" w:rsidRPr="00A41303" w:rsidRDefault="00A41303" w:rsidP="00A41303">
      <w:pPr>
        <w:numPr>
          <w:ilvl w:val="0"/>
          <w:numId w:val="118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Contractors and consultants (where relevant to reporting scope)</w:t>
      </w:r>
    </w:p>
    <w:p w14:paraId="326FD6C7" w14:textId="77777777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It covers all aspects of pay, reward and employment practices.</w:t>
      </w:r>
    </w:p>
    <w:p w14:paraId="078F5D40" w14:textId="77777777" w:rsidR="00A41303" w:rsidRPr="00A41303" w:rsidRDefault="004624E5" w:rsidP="00A41303">
      <w:pPr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2D4045C1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1F90245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4. Legal and Regulatory Context</w:t>
      </w:r>
    </w:p>
    <w:p w14:paraId="68D8D65F" w14:textId="77777777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This policy is aligned with:</w:t>
      </w:r>
    </w:p>
    <w:p w14:paraId="61A4FB63" w14:textId="77777777" w:rsidR="00A41303" w:rsidRPr="00A41303" w:rsidRDefault="00A41303" w:rsidP="00A41303">
      <w:pPr>
        <w:numPr>
          <w:ilvl w:val="0"/>
          <w:numId w:val="119"/>
        </w:numPr>
        <w:spacing w:before="100" w:beforeAutospacing="1" w:after="100" w:afterAutospacing="1"/>
        <w:ind w:left="709" w:right="-613" w:hanging="709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b/>
          <w:bCs/>
          <w:color w:val="000000"/>
        </w:rPr>
        <w:lastRenderedPageBreak/>
        <w:t>Equality Act 2010</w:t>
      </w:r>
    </w:p>
    <w:p w14:paraId="114CEEFE" w14:textId="77777777" w:rsidR="00A41303" w:rsidRPr="00A41303" w:rsidRDefault="00A41303" w:rsidP="00A41303">
      <w:pPr>
        <w:numPr>
          <w:ilvl w:val="0"/>
          <w:numId w:val="119"/>
        </w:numPr>
        <w:spacing w:before="100" w:beforeAutospacing="1" w:after="100" w:afterAutospacing="1"/>
        <w:ind w:left="709" w:right="-613" w:hanging="709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b/>
          <w:bCs/>
          <w:color w:val="000000"/>
        </w:rPr>
        <w:t>Employment Rights Act 1996</w:t>
      </w:r>
    </w:p>
    <w:p w14:paraId="4F793A93" w14:textId="77777777" w:rsidR="00A41303" w:rsidRPr="00A41303" w:rsidRDefault="00A41303" w:rsidP="00A41303">
      <w:pPr>
        <w:numPr>
          <w:ilvl w:val="0"/>
          <w:numId w:val="119"/>
        </w:numPr>
        <w:spacing w:before="100" w:beforeAutospacing="1" w:after="100" w:afterAutospacing="1"/>
        <w:ind w:left="709" w:right="-613" w:hanging="709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UK Government consultations on Race and Disability Pay Gap Reporting</w:t>
      </w:r>
    </w:p>
    <w:p w14:paraId="78C8EAFF" w14:textId="77777777" w:rsidR="00A41303" w:rsidRPr="00A41303" w:rsidRDefault="00A41303" w:rsidP="00A41303">
      <w:pPr>
        <w:numPr>
          <w:ilvl w:val="0"/>
          <w:numId w:val="119"/>
        </w:numPr>
        <w:spacing w:before="100" w:beforeAutospacing="1" w:after="100" w:afterAutospacing="1"/>
        <w:ind w:left="709" w:right="-613" w:hanging="709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Future secondary legislation anticipated to mirror gender pay gap reporting frameworks</w:t>
      </w:r>
    </w:p>
    <w:p w14:paraId="4EEC316C" w14:textId="77777777" w:rsidR="00A41303" w:rsidRPr="00A41303" w:rsidRDefault="004624E5" w:rsidP="00A41303">
      <w:pPr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03DF33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630CE94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5. Commitment to Fair Pay</w:t>
      </w:r>
    </w:p>
    <w:p w14:paraId="2971F582" w14:textId="57D61B79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SeenEm®</w:t>
      </w:r>
      <w:r w:rsidRPr="00A41303">
        <w:rPr>
          <w:rFonts w:asciiTheme="minorHAnsi" w:hAnsiTheme="minorHAnsi"/>
          <w:color w:val="000000"/>
        </w:rPr>
        <w:t xml:space="preserve"> is committed to:</w:t>
      </w:r>
    </w:p>
    <w:p w14:paraId="13E44BBA" w14:textId="77777777" w:rsidR="00A41303" w:rsidRPr="00A41303" w:rsidRDefault="00A41303" w:rsidP="00A41303">
      <w:pPr>
        <w:numPr>
          <w:ilvl w:val="0"/>
          <w:numId w:val="120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Equal pay for equal work</w:t>
      </w:r>
    </w:p>
    <w:p w14:paraId="3839EDB2" w14:textId="77777777" w:rsidR="00A41303" w:rsidRPr="00A41303" w:rsidRDefault="00A41303" w:rsidP="00A41303">
      <w:pPr>
        <w:numPr>
          <w:ilvl w:val="0"/>
          <w:numId w:val="120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Pay decisions based on role, responsibility, experience and performance</w:t>
      </w:r>
    </w:p>
    <w:p w14:paraId="21609850" w14:textId="77777777" w:rsidR="00A41303" w:rsidRPr="00A41303" w:rsidRDefault="00A41303" w:rsidP="00A41303">
      <w:pPr>
        <w:numPr>
          <w:ilvl w:val="0"/>
          <w:numId w:val="120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Transparent and objective reward structures</w:t>
      </w:r>
    </w:p>
    <w:p w14:paraId="11BFF5F4" w14:textId="77777777" w:rsidR="00A41303" w:rsidRPr="00A41303" w:rsidRDefault="00A41303" w:rsidP="00A41303">
      <w:pPr>
        <w:numPr>
          <w:ilvl w:val="0"/>
          <w:numId w:val="120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Eliminating unlawful discrimination in pay and progression</w:t>
      </w:r>
    </w:p>
    <w:p w14:paraId="0C4B50A9" w14:textId="77777777" w:rsidR="00A41303" w:rsidRPr="00A41303" w:rsidRDefault="004624E5" w:rsidP="00A41303">
      <w:pPr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71015B6B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0620DA8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6. Data Collection Principles</w:t>
      </w:r>
    </w:p>
    <w:p w14:paraId="0CB2AA98" w14:textId="3EE38CD2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 xml:space="preserve">Once reporting obligations apply, </w:t>
      </w:r>
      <w:r w:rsidRPr="00A41303">
        <w:rPr>
          <w:rFonts w:asciiTheme="minorHAnsi" w:hAnsiTheme="minorHAnsi"/>
          <w:color w:val="000000"/>
        </w:rPr>
        <w:t>SeenEm®</w:t>
      </w:r>
      <w:r w:rsidRPr="00A41303">
        <w:rPr>
          <w:rFonts w:asciiTheme="minorHAnsi" w:hAnsiTheme="minorHAnsi"/>
          <w:color w:val="000000"/>
        </w:rPr>
        <w:t xml:space="preserve"> will ensure that:</w:t>
      </w:r>
    </w:p>
    <w:p w14:paraId="3D47446A" w14:textId="77777777" w:rsidR="00A41303" w:rsidRPr="00A41303" w:rsidRDefault="00A41303" w:rsidP="00A41303">
      <w:pPr>
        <w:numPr>
          <w:ilvl w:val="0"/>
          <w:numId w:val="121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Data collection is lawful, fair and transparent</w:t>
      </w:r>
    </w:p>
    <w:p w14:paraId="72185D03" w14:textId="77777777" w:rsidR="00A41303" w:rsidRPr="00A41303" w:rsidRDefault="00A41303" w:rsidP="00A41303">
      <w:pPr>
        <w:numPr>
          <w:ilvl w:val="0"/>
          <w:numId w:val="121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Disclosure of race or disability information is voluntary</w:t>
      </w:r>
    </w:p>
    <w:p w14:paraId="2BB5395F" w14:textId="77777777" w:rsidR="00A41303" w:rsidRPr="00A41303" w:rsidRDefault="00A41303" w:rsidP="00A41303">
      <w:pPr>
        <w:numPr>
          <w:ilvl w:val="0"/>
          <w:numId w:val="121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Data is handled sensitively and confidentially</w:t>
      </w:r>
    </w:p>
    <w:p w14:paraId="6266BFF6" w14:textId="77777777" w:rsidR="00A41303" w:rsidRPr="00A41303" w:rsidRDefault="00A41303" w:rsidP="00A41303">
      <w:pPr>
        <w:numPr>
          <w:ilvl w:val="0"/>
          <w:numId w:val="121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Aggregated data is used for reporting purposes only</w:t>
      </w:r>
    </w:p>
    <w:p w14:paraId="1ADF2107" w14:textId="77777777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All processing will comply with </w:t>
      </w:r>
      <w:r w:rsidRPr="00A41303">
        <w:rPr>
          <w:rFonts w:asciiTheme="minorHAnsi" w:hAnsiTheme="minorHAnsi"/>
          <w:b/>
          <w:bCs/>
          <w:color w:val="000000"/>
        </w:rPr>
        <w:t>UK GDPR</w:t>
      </w:r>
      <w:r w:rsidRPr="00A41303">
        <w:rPr>
          <w:rFonts w:asciiTheme="minorHAnsi" w:hAnsiTheme="minorHAnsi"/>
          <w:color w:val="000000"/>
        </w:rPr>
        <w:t> and the </w:t>
      </w:r>
      <w:r w:rsidRPr="00A41303">
        <w:rPr>
          <w:rFonts w:asciiTheme="minorHAnsi" w:hAnsiTheme="minorHAnsi"/>
          <w:b/>
          <w:bCs/>
          <w:color w:val="000000"/>
        </w:rPr>
        <w:t>Data Protection Act 2018</w:t>
      </w:r>
      <w:r w:rsidRPr="00A41303">
        <w:rPr>
          <w:rFonts w:asciiTheme="minorHAnsi" w:hAnsiTheme="minorHAnsi"/>
          <w:color w:val="000000"/>
        </w:rPr>
        <w:t>.</w:t>
      </w:r>
    </w:p>
    <w:p w14:paraId="7D02C927" w14:textId="77777777" w:rsidR="00A41303" w:rsidRPr="00A41303" w:rsidRDefault="004624E5" w:rsidP="00A41303">
      <w:pPr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5C7CBCD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EBE589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7. Disability-Related Considerations</w:t>
      </w:r>
    </w:p>
    <w:p w14:paraId="6AD1A916" w14:textId="62D508B7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SeenEm®</w:t>
      </w:r>
      <w:r w:rsidRPr="00A41303">
        <w:rPr>
          <w:rFonts w:asciiTheme="minorHAnsi" w:hAnsiTheme="minorHAnsi"/>
          <w:color w:val="000000"/>
        </w:rPr>
        <w:t xml:space="preserve"> recognises that disability data is particularly sensitive.</w:t>
      </w:r>
    </w:p>
    <w:p w14:paraId="085095A0" w14:textId="77777777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Accordingly:</w:t>
      </w:r>
    </w:p>
    <w:p w14:paraId="1688CC81" w14:textId="77777777" w:rsidR="00A41303" w:rsidRPr="00A41303" w:rsidRDefault="00A41303" w:rsidP="00A41303">
      <w:pPr>
        <w:numPr>
          <w:ilvl w:val="0"/>
          <w:numId w:val="122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Disclosure will never be mandatory</w:t>
      </w:r>
    </w:p>
    <w:p w14:paraId="191A3F3E" w14:textId="77777777" w:rsidR="00A41303" w:rsidRPr="00A41303" w:rsidRDefault="00A41303" w:rsidP="00A41303">
      <w:pPr>
        <w:numPr>
          <w:ilvl w:val="0"/>
          <w:numId w:val="122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Reasonable adjustments will be respected</w:t>
      </w:r>
    </w:p>
    <w:p w14:paraId="1EF8E0DA" w14:textId="77777777" w:rsidR="00A41303" w:rsidRPr="00A41303" w:rsidRDefault="00A41303" w:rsidP="00A41303">
      <w:pPr>
        <w:numPr>
          <w:ilvl w:val="0"/>
          <w:numId w:val="122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No individual will be disadvantaged for choosing not to disclose</w:t>
      </w:r>
    </w:p>
    <w:p w14:paraId="4CD6CEEE" w14:textId="77777777" w:rsidR="00A41303" w:rsidRPr="00A41303" w:rsidRDefault="004624E5" w:rsidP="00A41303">
      <w:pPr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5531024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7CD6217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8. Future Reporting Commitments</w:t>
      </w:r>
    </w:p>
    <w:p w14:paraId="4D390032" w14:textId="508DF4CE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 xml:space="preserve">Once statutory thresholds and methodologies are confirmed, </w:t>
      </w:r>
      <w:r w:rsidRPr="00A41303">
        <w:rPr>
          <w:rFonts w:asciiTheme="minorHAnsi" w:hAnsiTheme="minorHAnsi"/>
          <w:color w:val="000000"/>
        </w:rPr>
        <w:t>SeenEm®</w:t>
      </w:r>
      <w:r w:rsidRPr="00A41303">
        <w:rPr>
          <w:rFonts w:asciiTheme="minorHAnsi" w:hAnsiTheme="minorHAnsi"/>
          <w:color w:val="000000"/>
        </w:rPr>
        <w:t xml:space="preserve"> will:</w:t>
      </w:r>
    </w:p>
    <w:p w14:paraId="1EC950F6" w14:textId="77777777" w:rsidR="00A41303" w:rsidRPr="00A41303" w:rsidRDefault="00A41303" w:rsidP="00A41303">
      <w:pPr>
        <w:numPr>
          <w:ilvl w:val="0"/>
          <w:numId w:val="123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lastRenderedPageBreak/>
        <w:t>Calculate race and disability pay gaps using the prescribed methodology</w:t>
      </w:r>
    </w:p>
    <w:p w14:paraId="2C33BC31" w14:textId="77777777" w:rsidR="00A41303" w:rsidRPr="00A41303" w:rsidRDefault="00A41303" w:rsidP="00A41303">
      <w:pPr>
        <w:numPr>
          <w:ilvl w:val="0"/>
          <w:numId w:val="123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Publish required reports within statutory deadlines</w:t>
      </w:r>
    </w:p>
    <w:p w14:paraId="57C780EF" w14:textId="77777777" w:rsidR="00A41303" w:rsidRPr="00A41303" w:rsidRDefault="00A41303" w:rsidP="00A41303">
      <w:pPr>
        <w:numPr>
          <w:ilvl w:val="0"/>
          <w:numId w:val="123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Provide explanatory narratives where required</w:t>
      </w:r>
    </w:p>
    <w:p w14:paraId="1BAA4890" w14:textId="77777777" w:rsidR="00A41303" w:rsidRPr="00A41303" w:rsidRDefault="00A41303" w:rsidP="00A41303">
      <w:pPr>
        <w:numPr>
          <w:ilvl w:val="0"/>
          <w:numId w:val="123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Take proportionate action to address identified disparities</w:t>
      </w:r>
    </w:p>
    <w:p w14:paraId="6EAE79D3" w14:textId="77777777" w:rsidR="00A41303" w:rsidRPr="00A41303" w:rsidRDefault="004624E5" w:rsidP="00A41303">
      <w:pPr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1627C07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68498BA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9. Action Planning</w:t>
      </w:r>
    </w:p>
    <w:p w14:paraId="17E3E1D4" w14:textId="136F224D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 xml:space="preserve">Where pay gaps are identified, </w:t>
      </w:r>
      <w:r w:rsidRPr="00A41303">
        <w:rPr>
          <w:rFonts w:asciiTheme="minorHAnsi" w:hAnsiTheme="minorHAnsi"/>
          <w:color w:val="000000"/>
        </w:rPr>
        <w:t>SeenEm®</w:t>
      </w:r>
      <w:r w:rsidRPr="00A41303">
        <w:rPr>
          <w:rFonts w:asciiTheme="minorHAnsi" w:hAnsiTheme="minorHAnsi"/>
          <w:color w:val="000000"/>
        </w:rPr>
        <w:t xml:space="preserve"> will:</w:t>
      </w:r>
    </w:p>
    <w:p w14:paraId="1C5B35B8" w14:textId="77777777" w:rsidR="00A41303" w:rsidRPr="00A41303" w:rsidRDefault="00A41303" w:rsidP="00A41303">
      <w:pPr>
        <w:numPr>
          <w:ilvl w:val="0"/>
          <w:numId w:val="124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Analyse contributing factors</w:t>
      </w:r>
    </w:p>
    <w:p w14:paraId="7228940E" w14:textId="77777777" w:rsidR="00A41303" w:rsidRPr="00A41303" w:rsidRDefault="00A41303" w:rsidP="00A41303">
      <w:pPr>
        <w:numPr>
          <w:ilvl w:val="0"/>
          <w:numId w:val="124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Review recruitment, progression and reward practices</w:t>
      </w:r>
    </w:p>
    <w:p w14:paraId="19C4D07A" w14:textId="77777777" w:rsidR="00A41303" w:rsidRPr="00A41303" w:rsidRDefault="00A41303" w:rsidP="00A41303">
      <w:pPr>
        <w:numPr>
          <w:ilvl w:val="0"/>
          <w:numId w:val="124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Implement reasonable and proportionate actions to support equality</w:t>
      </w:r>
    </w:p>
    <w:p w14:paraId="2E7EA7AC" w14:textId="77777777" w:rsidR="00A41303" w:rsidRPr="00A41303" w:rsidRDefault="004624E5" w:rsidP="00A41303">
      <w:pPr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3DD96FE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BF332AC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10. Transparency and Communication</w:t>
      </w:r>
    </w:p>
    <w:p w14:paraId="4BEBCB5F" w14:textId="3BAE81E9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SeenEm®</w:t>
      </w:r>
      <w:r w:rsidRPr="00A41303">
        <w:rPr>
          <w:rFonts w:asciiTheme="minorHAnsi" w:hAnsiTheme="minorHAnsi"/>
          <w:color w:val="000000"/>
        </w:rPr>
        <w:t xml:space="preserve"> is committed to transparency and will:</w:t>
      </w:r>
    </w:p>
    <w:p w14:paraId="2FE5E204" w14:textId="77777777" w:rsidR="00A41303" w:rsidRPr="00A41303" w:rsidRDefault="00A41303" w:rsidP="00A41303">
      <w:pPr>
        <w:numPr>
          <w:ilvl w:val="0"/>
          <w:numId w:val="125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Communicate pay gap information clearly once reporting applies</w:t>
      </w:r>
    </w:p>
    <w:p w14:paraId="211C7983" w14:textId="77777777" w:rsidR="00A41303" w:rsidRPr="00A41303" w:rsidRDefault="00A41303" w:rsidP="00A41303">
      <w:pPr>
        <w:numPr>
          <w:ilvl w:val="0"/>
          <w:numId w:val="125"/>
        </w:numPr>
        <w:spacing w:before="100" w:beforeAutospacing="1" w:after="100" w:afterAutospacing="1"/>
        <w:ind w:left="0" w:right="-613" w:firstLine="0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Engage openly with stakeholders on equality matters</w:t>
      </w:r>
    </w:p>
    <w:p w14:paraId="5C6E6A0F" w14:textId="77777777" w:rsidR="00A41303" w:rsidRPr="00A41303" w:rsidRDefault="004624E5" w:rsidP="00A41303">
      <w:pPr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2D67A39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2E7A8A1" w14:textId="77777777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11. Review and Monitoring</w:t>
      </w:r>
    </w:p>
    <w:p w14:paraId="5C3CE089" w14:textId="77777777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This policy will be:</w:t>
      </w:r>
    </w:p>
    <w:p w14:paraId="267EBC84" w14:textId="77777777" w:rsidR="00A41303" w:rsidRPr="00A41303" w:rsidRDefault="00A41303" w:rsidP="00A41303">
      <w:pPr>
        <w:numPr>
          <w:ilvl w:val="0"/>
          <w:numId w:val="126"/>
        </w:numPr>
        <w:spacing w:before="100" w:beforeAutospacing="1" w:after="100" w:afterAutospacing="1"/>
        <w:ind w:left="709" w:right="-613" w:hanging="709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color w:val="000000"/>
        </w:rPr>
        <w:t>Reviewed annually</w:t>
      </w:r>
    </w:p>
    <w:p w14:paraId="58FA9BCB" w14:textId="175C96E2" w:rsidR="00A41303" w:rsidRPr="00A41303" w:rsidRDefault="00A41303" w:rsidP="00A41303">
      <w:pPr>
        <w:numPr>
          <w:ilvl w:val="0"/>
          <w:numId w:val="126"/>
        </w:numPr>
        <w:spacing w:before="100" w:beforeAutospacing="1" w:after="100" w:afterAutospacing="1"/>
        <w:ind w:left="709" w:right="-613" w:hanging="709"/>
        <w:rPr>
          <w:rFonts w:asciiTheme="minorHAnsi" w:hAnsiTheme="minorHAnsi"/>
        </w:rPr>
      </w:pPr>
      <w:r w:rsidRPr="00A41303">
        <w:rPr>
          <w:rFonts w:asciiTheme="minorHAnsi" w:hAnsiTheme="minorHAnsi"/>
          <w:color w:val="000000"/>
        </w:rPr>
        <w:t>Updated immediately upon the introduction of statutory race or disability pay gap reporting requirements</w:t>
      </w:r>
    </w:p>
    <w:p w14:paraId="6A9915FC" w14:textId="743CA133" w:rsidR="00A41303" w:rsidRPr="00A41303" w:rsidRDefault="004624E5" w:rsidP="00A41303">
      <w:pPr>
        <w:spacing w:before="100" w:beforeAutospacing="1" w:after="100" w:afterAutospacing="1"/>
        <w:ind w:left="-567" w:right="-613"/>
        <w:rPr>
          <w:rFonts w:asciiTheme="minorHAnsi" w:hAnsiTheme="minorHAnsi"/>
        </w:rPr>
      </w:pPr>
      <w:r w:rsidRPr="004624E5">
        <w:rPr>
          <w:rFonts w:asciiTheme="minorHAnsi" w:hAnsiTheme="minorHAnsi"/>
          <w:noProof/>
          <w14:ligatures w14:val="standardContextual"/>
        </w:rPr>
        <w:pict w14:anchorId="521AE21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13795DC" w14:textId="3B72F8F9" w:rsidR="00A41303" w:rsidRPr="00A41303" w:rsidRDefault="00A41303" w:rsidP="00A41303">
      <w:pPr>
        <w:spacing w:before="100" w:beforeAutospacing="1" w:after="100" w:afterAutospacing="1"/>
        <w:ind w:left="-567" w:right="-613"/>
        <w:outlineLvl w:val="1"/>
        <w:rPr>
          <w:rFonts w:asciiTheme="minorHAnsi" w:hAnsi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/>
          <w:b/>
          <w:bCs/>
          <w:color w:val="000000"/>
          <w:sz w:val="36"/>
          <w:szCs w:val="36"/>
        </w:rPr>
        <w:t>1</w:t>
      </w:r>
      <w:r w:rsidRPr="00A41303">
        <w:rPr>
          <w:rFonts w:asciiTheme="minorHAnsi" w:hAnsiTheme="minorHAnsi"/>
          <w:b/>
          <w:bCs/>
          <w:color w:val="000000"/>
          <w:sz w:val="36"/>
          <w:szCs w:val="36"/>
        </w:rPr>
        <w:t>2. Review and Approval</w:t>
      </w:r>
    </w:p>
    <w:p w14:paraId="0FC1FCCB" w14:textId="74AAE9B2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</w:rPr>
      </w:pPr>
      <w:r w:rsidRPr="00A41303">
        <w:rPr>
          <w:rFonts w:asciiTheme="minorHAnsi" w:hAnsiTheme="minorHAnsi"/>
          <w:color w:val="000000"/>
        </w:rPr>
        <w:t>This policy is approved as a </w:t>
      </w:r>
      <w:r w:rsidRPr="00A41303">
        <w:rPr>
          <w:rFonts w:asciiTheme="minorHAnsi" w:hAnsiTheme="minorHAnsi"/>
          <w:b/>
          <w:bCs/>
          <w:color w:val="000000"/>
        </w:rPr>
        <w:t>compliance-readiness policy</w:t>
      </w:r>
      <w:r w:rsidRPr="00A41303">
        <w:rPr>
          <w:rFonts w:asciiTheme="minorHAnsi" w:hAnsiTheme="minorHAnsi"/>
          <w:color w:val="000000"/>
        </w:rPr>
        <w:t> and will transition to an active reporting policy once statutory obligations apply.</w:t>
      </w:r>
      <w:r w:rsidR="004624E5" w:rsidRPr="004624E5">
        <w:rPr>
          <w:rFonts w:asciiTheme="minorHAnsi" w:hAnsiTheme="minorHAnsi"/>
          <w:noProof/>
          <w14:ligatures w14:val="standardContextual"/>
        </w:rPr>
        <w:pict w14:anchorId="437A2BC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00BA5FB" w14:textId="02AF6546" w:rsidR="00A41303" w:rsidRPr="00A41303" w:rsidRDefault="00A41303" w:rsidP="00A41303">
      <w:pPr>
        <w:spacing w:before="100" w:beforeAutospacing="1" w:after="100" w:afterAutospacing="1"/>
        <w:ind w:left="-567" w:right="-613"/>
        <w:rPr>
          <w:rFonts w:asciiTheme="minorHAnsi" w:hAnsiTheme="minorHAnsi"/>
          <w:color w:val="000000"/>
        </w:rPr>
      </w:pPr>
      <w:r w:rsidRPr="00A41303">
        <w:rPr>
          <w:rFonts w:asciiTheme="minorHAnsi" w:hAnsiTheme="minorHAnsi"/>
          <w:b/>
          <w:bCs/>
          <w:color w:val="000000"/>
        </w:rPr>
        <w:t>Approved by:</w:t>
      </w:r>
      <w:r w:rsidRPr="00A41303">
        <w:rPr>
          <w:rFonts w:asciiTheme="minorHAnsi" w:hAnsiTheme="minorHAnsi"/>
          <w:color w:val="000000"/>
        </w:rPr>
        <w:t xml:space="preserve"> The Board of </w:t>
      </w:r>
      <w:r w:rsidRPr="00A41303">
        <w:rPr>
          <w:rFonts w:asciiTheme="minorHAnsi" w:hAnsiTheme="minorHAnsi"/>
          <w:color w:val="000000"/>
        </w:rPr>
        <w:t>SeenEm®</w:t>
      </w:r>
      <w:r w:rsidRPr="00A41303">
        <w:rPr>
          <w:rFonts w:asciiTheme="minorHAnsi" w:hAnsiTheme="minorHAnsi"/>
          <w:color w:val="000000"/>
        </w:rPr>
        <w:br/>
      </w:r>
      <w:r w:rsidRPr="00A41303">
        <w:rPr>
          <w:rFonts w:asciiTheme="minorHAnsi" w:hAnsiTheme="minorHAnsi"/>
          <w:b/>
          <w:bCs/>
          <w:color w:val="000000"/>
        </w:rPr>
        <w:t>Status:</w:t>
      </w:r>
      <w:r w:rsidRPr="00A41303">
        <w:rPr>
          <w:rFonts w:asciiTheme="minorHAnsi" w:hAnsiTheme="minorHAnsi"/>
          <w:color w:val="000000"/>
        </w:rPr>
        <w:t> Policy in place – statutory reporting not yet in force</w:t>
      </w:r>
      <w:r w:rsidRPr="00A41303">
        <w:rPr>
          <w:rFonts w:asciiTheme="minorHAnsi" w:hAnsiTheme="minorHAnsi"/>
          <w:color w:val="000000"/>
        </w:rPr>
        <w:br/>
      </w:r>
      <w:r w:rsidRPr="00A41303">
        <w:rPr>
          <w:rFonts w:asciiTheme="minorHAnsi" w:hAnsiTheme="minorHAnsi"/>
          <w:b/>
          <w:bCs/>
          <w:color w:val="000000"/>
        </w:rPr>
        <w:t>Review frequency:</w:t>
      </w:r>
      <w:r w:rsidRPr="00A41303">
        <w:rPr>
          <w:rFonts w:asciiTheme="minorHAnsi" w:hAnsiTheme="minorHAnsi"/>
          <w:color w:val="000000"/>
        </w:rPr>
        <w:t> </w:t>
      </w:r>
      <w:r w:rsidRPr="00A41303">
        <w:rPr>
          <w:rFonts w:asciiTheme="minorHAnsi" w:hAnsiTheme="minorHAnsi"/>
          <w:color w:val="000000"/>
        </w:rPr>
        <w:t xml:space="preserve">Employment of Staff, </w:t>
      </w:r>
      <w:r w:rsidRPr="00A41303">
        <w:rPr>
          <w:rFonts w:asciiTheme="minorHAnsi" w:hAnsiTheme="minorHAnsi"/>
          <w:color w:val="000000"/>
        </w:rPr>
        <w:t>Annual or upon legislative change</w:t>
      </w:r>
    </w:p>
    <w:p w14:paraId="2CBFD21A" w14:textId="40221E20" w:rsidR="00AD66AE" w:rsidRPr="00A41303" w:rsidRDefault="00AD66AE" w:rsidP="00A41303">
      <w:pPr>
        <w:spacing w:before="100" w:beforeAutospacing="1" w:after="100" w:afterAutospacing="1"/>
        <w:ind w:left="-567" w:right="-613"/>
        <w:rPr>
          <w:rFonts w:asciiTheme="minorHAnsi" w:hAnsiTheme="minorHAnsi"/>
        </w:rPr>
      </w:pPr>
      <w:r w:rsidRPr="00A41303">
        <w:rPr>
          <w:rFonts w:asciiTheme="minorHAnsi" w:hAnsiTheme="minorHAnsi"/>
          <w:color w:val="000000"/>
        </w:rPr>
        <w:t>© 202</w:t>
      </w:r>
      <w:r w:rsidR="00D0106D" w:rsidRPr="00A41303">
        <w:rPr>
          <w:rFonts w:asciiTheme="minorHAnsi" w:hAnsiTheme="minorHAnsi"/>
          <w:color w:val="000000"/>
        </w:rPr>
        <w:t>6</w:t>
      </w:r>
      <w:r w:rsidRPr="00A41303">
        <w:rPr>
          <w:rFonts w:asciiTheme="minorHAnsi" w:hAnsiTheme="minorHAnsi"/>
          <w:color w:val="000000"/>
        </w:rPr>
        <w:t xml:space="preserve"> </w:t>
      </w:r>
      <w:r w:rsidR="00A41303" w:rsidRPr="00A41303">
        <w:rPr>
          <w:rFonts w:asciiTheme="minorHAnsi" w:hAnsiTheme="minorHAnsi"/>
          <w:color w:val="000000"/>
        </w:rPr>
        <w:t>SeenEm</w:t>
      </w:r>
      <w:r w:rsidR="00E225B8" w:rsidRPr="00A41303">
        <w:rPr>
          <w:rFonts w:asciiTheme="minorHAnsi" w:hAnsiTheme="minorHAnsi"/>
          <w:color w:val="000000"/>
        </w:rPr>
        <w:t>®</w:t>
      </w:r>
      <w:r w:rsidR="006855F5" w:rsidRPr="00A41303">
        <w:rPr>
          <w:rFonts w:asciiTheme="minorHAnsi" w:hAnsiTheme="minorHAnsi"/>
          <w:color w:val="000000"/>
        </w:rPr>
        <w:t xml:space="preserve"> </w:t>
      </w:r>
      <w:r w:rsidRPr="00A41303">
        <w:rPr>
          <w:rFonts w:asciiTheme="minorHAnsi" w:hAnsiTheme="minorHAnsi"/>
          <w:color w:val="000000"/>
        </w:rPr>
        <w:t>Limited. All rights reserved.</w:t>
      </w:r>
    </w:p>
    <w:sectPr w:rsidR="00AD66AE" w:rsidRPr="00A41303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84E4" w14:textId="77777777" w:rsidR="004624E5" w:rsidRDefault="004624E5" w:rsidP="00AD66AE">
      <w:r>
        <w:separator/>
      </w:r>
    </w:p>
  </w:endnote>
  <w:endnote w:type="continuationSeparator" w:id="0">
    <w:p w14:paraId="3766AAE7" w14:textId="77777777" w:rsidR="004624E5" w:rsidRDefault="004624E5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EA9F" w14:textId="77777777" w:rsidR="004624E5" w:rsidRDefault="004624E5" w:rsidP="00AD66AE">
      <w:r>
        <w:separator/>
      </w:r>
    </w:p>
  </w:footnote>
  <w:footnote w:type="continuationSeparator" w:id="0">
    <w:p w14:paraId="5FA51A3E" w14:textId="77777777" w:rsidR="004624E5" w:rsidRDefault="004624E5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b/>
        <w:bCs/>
        <w:noProof/>
        <w:color w:val="000000"/>
        <w:kern w:val="36"/>
        <w:sz w:val="48"/>
        <w:szCs w:val="48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4239"/>
    <w:multiLevelType w:val="multilevel"/>
    <w:tmpl w:val="6C80D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45E04"/>
    <w:multiLevelType w:val="multilevel"/>
    <w:tmpl w:val="08CE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0644F"/>
    <w:multiLevelType w:val="multilevel"/>
    <w:tmpl w:val="0032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423BBE"/>
    <w:multiLevelType w:val="multilevel"/>
    <w:tmpl w:val="E75C6D4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5D3841"/>
    <w:multiLevelType w:val="multilevel"/>
    <w:tmpl w:val="D7C6520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C3688D"/>
    <w:multiLevelType w:val="multilevel"/>
    <w:tmpl w:val="52D05D3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B220EE"/>
    <w:multiLevelType w:val="multilevel"/>
    <w:tmpl w:val="559CA90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981EA3"/>
    <w:multiLevelType w:val="multilevel"/>
    <w:tmpl w:val="AEB292D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7049AB"/>
    <w:multiLevelType w:val="multilevel"/>
    <w:tmpl w:val="ED2E98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B16E42"/>
    <w:multiLevelType w:val="multilevel"/>
    <w:tmpl w:val="261C644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D759B7"/>
    <w:multiLevelType w:val="multilevel"/>
    <w:tmpl w:val="CEC023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57648D"/>
    <w:multiLevelType w:val="multilevel"/>
    <w:tmpl w:val="0534EB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D4563A"/>
    <w:multiLevelType w:val="multilevel"/>
    <w:tmpl w:val="E43A01E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2253B7"/>
    <w:multiLevelType w:val="multilevel"/>
    <w:tmpl w:val="E6CCBA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8A85F43"/>
    <w:multiLevelType w:val="multilevel"/>
    <w:tmpl w:val="88746E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0224A6"/>
    <w:multiLevelType w:val="multilevel"/>
    <w:tmpl w:val="C11849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50560B"/>
    <w:multiLevelType w:val="multilevel"/>
    <w:tmpl w:val="4ABA24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AD3007"/>
    <w:multiLevelType w:val="multilevel"/>
    <w:tmpl w:val="0B4A7EC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0936C5"/>
    <w:multiLevelType w:val="multilevel"/>
    <w:tmpl w:val="6D8E54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2506048"/>
    <w:multiLevelType w:val="multilevel"/>
    <w:tmpl w:val="F32687F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6A75E60"/>
    <w:multiLevelType w:val="multilevel"/>
    <w:tmpl w:val="961632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7241015"/>
    <w:multiLevelType w:val="multilevel"/>
    <w:tmpl w:val="2B8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D243E24"/>
    <w:multiLevelType w:val="multilevel"/>
    <w:tmpl w:val="B36EFCB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F42302"/>
    <w:multiLevelType w:val="multilevel"/>
    <w:tmpl w:val="7794E3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FC2923"/>
    <w:multiLevelType w:val="multilevel"/>
    <w:tmpl w:val="8E5CFA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9E2D4F"/>
    <w:multiLevelType w:val="multilevel"/>
    <w:tmpl w:val="C2221C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4CF5058"/>
    <w:multiLevelType w:val="multilevel"/>
    <w:tmpl w:val="26B8E3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176C80"/>
    <w:multiLevelType w:val="multilevel"/>
    <w:tmpl w:val="D94AA7F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74C4B00"/>
    <w:multiLevelType w:val="multilevel"/>
    <w:tmpl w:val="0C6E26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7F754A1"/>
    <w:multiLevelType w:val="multilevel"/>
    <w:tmpl w:val="C83ACB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99E3BF6"/>
    <w:multiLevelType w:val="multilevel"/>
    <w:tmpl w:val="3940A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A720A6A"/>
    <w:multiLevelType w:val="multilevel"/>
    <w:tmpl w:val="D4D8DE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C1027F6"/>
    <w:multiLevelType w:val="multilevel"/>
    <w:tmpl w:val="D27EEA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2952AAC"/>
    <w:multiLevelType w:val="multilevel"/>
    <w:tmpl w:val="19DA47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775377A"/>
    <w:multiLevelType w:val="multilevel"/>
    <w:tmpl w:val="0AF83B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9302371"/>
    <w:multiLevelType w:val="multilevel"/>
    <w:tmpl w:val="E9D678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C3B65A3"/>
    <w:multiLevelType w:val="multilevel"/>
    <w:tmpl w:val="9348BC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4BD37C3"/>
    <w:multiLevelType w:val="multilevel"/>
    <w:tmpl w:val="321015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64F18FC"/>
    <w:multiLevelType w:val="multilevel"/>
    <w:tmpl w:val="C2F851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C494F67"/>
    <w:multiLevelType w:val="multilevel"/>
    <w:tmpl w:val="EBF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DF26FC7"/>
    <w:multiLevelType w:val="multilevel"/>
    <w:tmpl w:val="3CDC43C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6"/>
  </w:num>
  <w:num w:numId="2" w16cid:durableId="1513689879">
    <w:abstractNumId w:val="55"/>
  </w:num>
  <w:num w:numId="3" w16cid:durableId="1049764868">
    <w:abstractNumId w:val="4"/>
  </w:num>
  <w:num w:numId="4" w16cid:durableId="121074611">
    <w:abstractNumId w:val="80"/>
  </w:num>
  <w:num w:numId="5" w16cid:durableId="200094362">
    <w:abstractNumId w:val="97"/>
  </w:num>
  <w:num w:numId="6" w16cid:durableId="306280586">
    <w:abstractNumId w:val="113"/>
  </w:num>
  <w:num w:numId="7" w16cid:durableId="722364787">
    <w:abstractNumId w:val="31"/>
  </w:num>
  <w:num w:numId="8" w16cid:durableId="1306618986">
    <w:abstractNumId w:val="48"/>
  </w:num>
  <w:num w:numId="9" w16cid:durableId="323630977">
    <w:abstractNumId w:val="49"/>
  </w:num>
  <w:num w:numId="10" w16cid:durableId="1610577411">
    <w:abstractNumId w:val="29"/>
  </w:num>
  <w:num w:numId="11" w16cid:durableId="616915091">
    <w:abstractNumId w:val="21"/>
  </w:num>
  <w:num w:numId="12" w16cid:durableId="1683776710">
    <w:abstractNumId w:val="60"/>
  </w:num>
  <w:num w:numId="13" w16cid:durableId="1345550728">
    <w:abstractNumId w:val="84"/>
  </w:num>
  <w:num w:numId="14" w16cid:durableId="349994608">
    <w:abstractNumId w:val="52"/>
  </w:num>
  <w:num w:numId="15" w16cid:durableId="2042170351">
    <w:abstractNumId w:val="94"/>
  </w:num>
  <w:num w:numId="16" w16cid:durableId="136652431">
    <w:abstractNumId w:val="105"/>
  </w:num>
  <w:num w:numId="17" w16cid:durableId="1131435088">
    <w:abstractNumId w:val="72"/>
  </w:num>
  <w:num w:numId="18" w16cid:durableId="1535385499">
    <w:abstractNumId w:val="88"/>
  </w:num>
  <w:num w:numId="19" w16cid:durableId="1346252833">
    <w:abstractNumId w:val="64"/>
  </w:num>
  <w:num w:numId="20" w16cid:durableId="1505363665">
    <w:abstractNumId w:val="50"/>
  </w:num>
  <w:num w:numId="21" w16cid:durableId="70782995">
    <w:abstractNumId w:val="35"/>
  </w:num>
  <w:num w:numId="22" w16cid:durableId="1287665069">
    <w:abstractNumId w:val="85"/>
  </w:num>
  <w:num w:numId="23" w16cid:durableId="126045965">
    <w:abstractNumId w:val="103"/>
  </w:num>
  <w:num w:numId="24" w16cid:durableId="1191650939">
    <w:abstractNumId w:val="120"/>
  </w:num>
  <w:num w:numId="25" w16cid:durableId="1385635956">
    <w:abstractNumId w:val="108"/>
  </w:num>
  <w:num w:numId="26" w16cid:durableId="428084185">
    <w:abstractNumId w:val="65"/>
  </w:num>
  <w:num w:numId="27" w16cid:durableId="1150632260">
    <w:abstractNumId w:val="43"/>
  </w:num>
  <w:num w:numId="28" w16cid:durableId="962619747">
    <w:abstractNumId w:val="26"/>
  </w:num>
  <w:num w:numId="29" w16cid:durableId="1194735672">
    <w:abstractNumId w:val="42"/>
  </w:num>
  <w:num w:numId="30" w16cid:durableId="1993870003">
    <w:abstractNumId w:val="118"/>
  </w:num>
  <w:num w:numId="31" w16cid:durableId="2142577517">
    <w:abstractNumId w:val="45"/>
  </w:num>
  <w:num w:numId="32" w16cid:durableId="1293903981">
    <w:abstractNumId w:val="62"/>
  </w:num>
  <w:num w:numId="33" w16cid:durableId="211308612">
    <w:abstractNumId w:val="112"/>
  </w:num>
  <w:num w:numId="34" w16cid:durableId="802892672">
    <w:abstractNumId w:val="13"/>
  </w:num>
  <w:num w:numId="35" w16cid:durableId="1463812754">
    <w:abstractNumId w:val="2"/>
  </w:num>
  <w:num w:numId="36" w16cid:durableId="300814367">
    <w:abstractNumId w:val="71"/>
  </w:num>
  <w:num w:numId="37" w16cid:durableId="1719011991">
    <w:abstractNumId w:val="41"/>
  </w:num>
  <w:num w:numId="38" w16cid:durableId="523520544">
    <w:abstractNumId w:val="115"/>
  </w:num>
  <w:num w:numId="39" w16cid:durableId="903832429">
    <w:abstractNumId w:val="124"/>
  </w:num>
  <w:num w:numId="40" w16cid:durableId="1292400917">
    <w:abstractNumId w:val="92"/>
  </w:num>
  <w:num w:numId="41" w16cid:durableId="2058888452">
    <w:abstractNumId w:val="74"/>
  </w:num>
  <w:num w:numId="42" w16cid:durableId="791052166">
    <w:abstractNumId w:val="57"/>
  </w:num>
  <w:num w:numId="43" w16cid:durableId="1491213522">
    <w:abstractNumId w:val="6"/>
  </w:num>
  <w:num w:numId="44" w16cid:durableId="1687553987">
    <w:abstractNumId w:val="100"/>
  </w:num>
  <w:num w:numId="45" w16cid:durableId="1146508947">
    <w:abstractNumId w:val="125"/>
  </w:num>
  <w:num w:numId="46" w16cid:durableId="796606611">
    <w:abstractNumId w:val="123"/>
  </w:num>
  <w:num w:numId="47" w16cid:durableId="2107340917">
    <w:abstractNumId w:val="24"/>
  </w:num>
  <w:num w:numId="48" w16cid:durableId="1704941641">
    <w:abstractNumId w:val="104"/>
  </w:num>
  <w:num w:numId="49" w16cid:durableId="1596592621">
    <w:abstractNumId w:val="19"/>
  </w:num>
  <w:num w:numId="50" w16cid:durableId="1769500515">
    <w:abstractNumId w:val="106"/>
  </w:num>
  <w:num w:numId="51" w16cid:durableId="1582373799">
    <w:abstractNumId w:val="102"/>
  </w:num>
  <w:num w:numId="52" w16cid:durableId="1342397040">
    <w:abstractNumId w:val="27"/>
  </w:num>
  <w:num w:numId="53" w16cid:durableId="402794466">
    <w:abstractNumId w:val="66"/>
  </w:num>
  <w:num w:numId="54" w16cid:durableId="1489976905">
    <w:abstractNumId w:val="73"/>
  </w:num>
  <w:num w:numId="55" w16cid:durableId="1893882523">
    <w:abstractNumId w:val="59"/>
  </w:num>
  <w:num w:numId="56" w16cid:durableId="166598026">
    <w:abstractNumId w:val="38"/>
  </w:num>
  <w:num w:numId="57" w16cid:durableId="72050698">
    <w:abstractNumId w:val="11"/>
  </w:num>
  <w:num w:numId="58" w16cid:durableId="1902910922">
    <w:abstractNumId w:val="32"/>
  </w:num>
  <w:num w:numId="59" w16cid:durableId="444077248">
    <w:abstractNumId w:val="107"/>
  </w:num>
  <w:num w:numId="60" w16cid:durableId="866020282">
    <w:abstractNumId w:val="44"/>
  </w:num>
  <w:num w:numId="61" w16cid:durableId="893656732">
    <w:abstractNumId w:val="20"/>
  </w:num>
  <w:num w:numId="62" w16cid:durableId="1577281315">
    <w:abstractNumId w:val="3"/>
  </w:num>
  <w:num w:numId="63" w16cid:durableId="1706910319">
    <w:abstractNumId w:val="119"/>
  </w:num>
  <w:num w:numId="64" w16cid:durableId="1329864951">
    <w:abstractNumId w:val="0"/>
  </w:num>
  <w:num w:numId="65" w16cid:durableId="1556818238">
    <w:abstractNumId w:val="70"/>
  </w:num>
  <w:num w:numId="66" w16cid:durableId="1991204660">
    <w:abstractNumId w:val="93"/>
  </w:num>
  <w:num w:numId="67" w16cid:durableId="1246651200">
    <w:abstractNumId w:val="34"/>
  </w:num>
  <w:num w:numId="68" w16cid:durableId="383866950">
    <w:abstractNumId w:val="69"/>
  </w:num>
  <w:num w:numId="69" w16cid:durableId="731344606">
    <w:abstractNumId w:val="54"/>
  </w:num>
  <w:num w:numId="70" w16cid:durableId="1121648824">
    <w:abstractNumId w:val="18"/>
  </w:num>
  <w:num w:numId="71" w16cid:durableId="479807263">
    <w:abstractNumId w:val="22"/>
  </w:num>
  <w:num w:numId="72" w16cid:durableId="348264926">
    <w:abstractNumId w:val="81"/>
  </w:num>
  <w:num w:numId="73" w16cid:durableId="1080176010">
    <w:abstractNumId w:val="110"/>
  </w:num>
  <w:num w:numId="74" w16cid:durableId="986779882">
    <w:abstractNumId w:val="91"/>
  </w:num>
  <w:num w:numId="75" w16cid:durableId="1641032489">
    <w:abstractNumId w:val="17"/>
  </w:num>
  <w:num w:numId="76" w16cid:durableId="45613948">
    <w:abstractNumId w:val="10"/>
  </w:num>
  <w:num w:numId="77" w16cid:durableId="1147939371">
    <w:abstractNumId w:val="96"/>
  </w:num>
  <w:num w:numId="78" w16cid:durableId="351036664">
    <w:abstractNumId w:val="117"/>
  </w:num>
  <w:num w:numId="79" w16cid:durableId="866210651">
    <w:abstractNumId w:val="87"/>
  </w:num>
  <w:num w:numId="80" w16cid:durableId="1711881158">
    <w:abstractNumId w:val="36"/>
  </w:num>
  <w:num w:numId="81" w16cid:durableId="1526824057">
    <w:abstractNumId w:val="75"/>
  </w:num>
  <w:num w:numId="82" w16cid:durableId="1507478941">
    <w:abstractNumId w:val="111"/>
  </w:num>
  <w:num w:numId="83" w16cid:durableId="1590430205">
    <w:abstractNumId w:val="78"/>
  </w:num>
  <w:num w:numId="84" w16cid:durableId="722480627">
    <w:abstractNumId w:val="76"/>
  </w:num>
  <w:num w:numId="85" w16cid:durableId="1748184970">
    <w:abstractNumId w:val="116"/>
  </w:num>
  <w:num w:numId="86" w16cid:durableId="1765608986">
    <w:abstractNumId w:val="86"/>
  </w:num>
  <w:num w:numId="87" w16cid:durableId="769089172">
    <w:abstractNumId w:val="33"/>
  </w:num>
  <w:num w:numId="88" w16cid:durableId="1814324520">
    <w:abstractNumId w:val="15"/>
  </w:num>
  <w:num w:numId="89" w16cid:durableId="1346983055">
    <w:abstractNumId w:val="99"/>
  </w:num>
  <w:num w:numId="90" w16cid:durableId="986668546">
    <w:abstractNumId w:val="58"/>
  </w:num>
  <w:num w:numId="91" w16cid:durableId="906572723">
    <w:abstractNumId w:val="56"/>
  </w:num>
  <w:num w:numId="92" w16cid:durableId="36392039">
    <w:abstractNumId w:val="5"/>
  </w:num>
  <w:num w:numId="93" w16cid:durableId="583491770">
    <w:abstractNumId w:val="95"/>
  </w:num>
  <w:num w:numId="94" w16cid:durableId="165248377">
    <w:abstractNumId w:val="121"/>
  </w:num>
  <w:num w:numId="95" w16cid:durableId="879896849">
    <w:abstractNumId w:val="101"/>
  </w:num>
  <w:num w:numId="96" w16cid:durableId="1882790764">
    <w:abstractNumId w:val="51"/>
  </w:num>
  <w:num w:numId="97" w16cid:durableId="127820853">
    <w:abstractNumId w:val="39"/>
  </w:num>
  <w:num w:numId="98" w16cid:durableId="1677031824">
    <w:abstractNumId w:val="68"/>
  </w:num>
  <w:num w:numId="99" w16cid:durableId="948048449">
    <w:abstractNumId w:val="79"/>
  </w:num>
  <w:num w:numId="100" w16cid:durableId="814490415">
    <w:abstractNumId w:val="83"/>
  </w:num>
  <w:num w:numId="101" w16cid:durableId="1384326816">
    <w:abstractNumId w:val="7"/>
  </w:num>
  <w:num w:numId="102" w16cid:durableId="125394750">
    <w:abstractNumId w:val="14"/>
  </w:num>
  <w:num w:numId="103" w16cid:durableId="1116758497">
    <w:abstractNumId w:val="40"/>
  </w:num>
  <w:num w:numId="104" w16cid:durableId="1988972165">
    <w:abstractNumId w:val="46"/>
  </w:num>
  <w:num w:numId="105" w16cid:durableId="1049644655">
    <w:abstractNumId w:val="23"/>
  </w:num>
  <w:num w:numId="106" w16cid:durableId="783231501">
    <w:abstractNumId w:val="114"/>
  </w:num>
  <w:num w:numId="107" w16cid:durableId="2059937540">
    <w:abstractNumId w:val="25"/>
  </w:num>
  <w:num w:numId="108" w16cid:durableId="844130587">
    <w:abstractNumId w:val="109"/>
  </w:num>
  <w:num w:numId="109" w16cid:durableId="501242128">
    <w:abstractNumId w:val="9"/>
  </w:num>
  <w:num w:numId="110" w16cid:durableId="443616438">
    <w:abstractNumId w:val="12"/>
  </w:num>
  <w:num w:numId="111" w16cid:durableId="2032759105">
    <w:abstractNumId w:val="90"/>
  </w:num>
  <w:num w:numId="112" w16cid:durableId="1311668833">
    <w:abstractNumId w:val="30"/>
  </w:num>
  <w:num w:numId="113" w16cid:durableId="168371258">
    <w:abstractNumId w:val="47"/>
  </w:num>
  <w:num w:numId="114" w16cid:durableId="577708926">
    <w:abstractNumId w:val="1"/>
  </w:num>
  <w:num w:numId="115" w16cid:durableId="1359353125">
    <w:abstractNumId w:val="63"/>
  </w:num>
  <w:num w:numId="116" w16cid:durableId="441270843">
    <w:abstractNumId w:val="82"/>
  </w:num>
  <w:num w:numId="117" w16cid:durableId="455418399">
    <w:abstractNumId w:val="122"/>
  </w:num>
  <w:num w:numId="118" w16cid:durableId="976641397">
    <w:abstractNumId w:val="53"/>
  </w:num>
  <w:num w:numId="119" w16cid:durableId="1461143024">
    <w:abstractNumId w:val="37"/>
  </w:num>
  <w:num w:numId="120" w16cid:durableId="538860482">
    <w:abstractNumId w:val="61"/>
  </w:num>
  <w:num w:numId="121" w16cid:durableId="744886284">
    <w:abstractNumId w:val="98"/>
  </w:num>
  <w:num w:numId="122" w16cid:durableId="1197278331">
    <w:abstractNumId w:val="77"/>
  </w:num>
  <w:num w:numId="123" w16cid:durableId="1228691679">
    <w:abstractNumId w:val="8"/>
  </w:num>
  <w:num w:numId="124" w16cid:durableId="1961842138">
    <w:abstractNumId w:val="28"/>
  </w:num>
  <w:num w:numId="125" w16cid:durableId="235669162">
    <w:abstractNumId w:val="67"/>
  </w:num>
  <w:num w:numId="126" w16cid:durableId="2112890224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F3CE5"/>
    <w:rsid w:val="002D0157"/>
    <w:rsid w:val="0030345F"/>
    <w:rsid w:val="004624E5"/>
    <w:rsid w:val="00494853"/>
    <w:rsid w:val="006855F5"/>
    <w:rsid w:val="009C002A"/>
    <w:rsid w:val="00A1258B"/>
    <w:rsid w:val="00A31D15"/>
    <w:rsid w:val="00A41303"/>
    <w:rsid w:val="00AD66AE"/>
    <w:rsid w:val="00AF49D5"/>
    <w:rsid w:val="00C15732"/>
    <w:rsid w:val="00C7794B"/>
    <w:rsid w:val="00D0106D"/>
    <w:rsid w:val="00DA0FCA"/>
    <w:rsid w:val="00DC0C27"/>
    <w:rsid w:val="00E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30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2026-01-04T17:11:00Z</dcterms:created>
  <dcterms:modified xsi:type="dcterms:W3CDTF">2026-01-04T17:11:00Z</dcterms:modified>
</cp:coreProperties>
</file>